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2" w:rsidRPr="001C7028" w:rsidRDefault="00952BB9" w:rsidP="001C7028">
      <w:pPr>
        <w:jc w:val="center"/>
        <w:rPr>
          <w:b/>
          <w:sz w:val="30"/>
          <w:szCs w:val="30"/>
        </w:rPr>
      </w:pPr>
      <w:r w:rsidRPr="001C7028">
        <w:rPr>
          <w:rFonts w:hint="eastAsia"/>
          <w:b/>
          <w:sz w:val="30"/>
          <w:szCs w:val="30"/>
        </w:rPr>
        <w:t>关于</w:t>
      </w:r>
      <w:bookmarkStart w:id="0" w:name="_GoBack"/>
      <w:r w:rsidRPr="001C7028">
        <w:rPr>
          <w:rFonts w:hint="eastAsia"/>
          <w:b/>
          <w:sz w:val="30"/>
          <w:szCs w:val="30"/>
        </w:rPr>
        <w:t>会计学院</w:t>
      </w:r>
      <w:r w:rsidR="00475BDC" w:rsidRPr="001C7028">
        <w:rPr>
          <w:rFonts w:hint="eastAsia"/>
          <w:b/>
          <w:sz w:val="30"/>
          <w:szCs w:val="30"/>
        </w:rPr>
        <w:t>辅修专业证书</w:t>
      </w:r>
      <w:r w:rsidR="002E7F58">
        <w:rPr>
          <w:rFonts w:hint="eastAsia"/>
          <w:b/>
          <w:sz w:val="30"/>
          <w:szCs w:val="30"/>
        </w:rPr>
        <w:t>认定</w:t>
      </w:r>
      <w:r w:rsidR="00475BDC" w:rsidRPr="001C7028">
        <w:rPr>
          <w:rFonts w:hint="eastAsia"/>
          <w:b/>
          <w:sz w:val="30"/>
          <w:szCs w:val="30"/>
        </w:rPr>
        <w:t>的补充说明</w:t>
      </w:r>
      <w:bookmarkEnd w:id="0"/>
    </w:p>
    <w:p w:rsidR="00475BDC" w:rsidRPr="001C7028" w:rsidRDefault="00475BDC" w:rsidP="001C7028">
      <w:pPr>
        <w:spacing w:line="360" w:lineRule="auto"/>
        <w:ind w:firstLineChars="200" w:firstLine="480"/>
        <w:rPr>
          <w:sz w:val="24"/>
          <w:szCs w:val="24"/>
        </w:rPr>
      </w:pPr>
    </w:p>
    <w:p w:rsidR="00475BDC" w:rsidRDefault="001C7028" w:rsidP="001C7028">
      <w:pPr>
        <w:spacing w:line="360" w:lineRule="auto"/>
        <w:ind w:firstLineChars="200" w:firstLine="480"/>
        <w:rPr>
          <w:sz w:val="24"/>
          <w:szCs w:val="24"/>
        </w:rPr>
      </w:pPr>
      <w:r w:rsidRPr="001C7028">
        <w:rPr>
          <w:rFonts w:hint="eastAsia"/>
          <w:sz w:val="24"/>
          <w:szCs w:val="24"/>
        </w:rPr>
        <w:t>为进一步</w:t>
      </w:r>
      <w:r w:rsidR="0066453B">
        <w:rPr>
          <w:rFonts w:hint="eastAsia"/>
          <w:sz w:val="24"/>
          <w:szCs w:val="24"/>
        </w:rPr>
        <w:t>贯彻和执行《湖北经济学院学籍管理规定》、《</w:t>
      </w:r>
      <w:r w:rsidR="0066453B">
        <w:rPr>
          <w:rFonts w:hint="eastAsia"/>
          <w:sz w:val="24"/>
          <w:szCs w:val="24"/>
        </w:rPr>
        <w:t>2014</w:t>
      </w:r>
      <w:r w:rsidR="0066453B">
        <w:rPr>
          <w:rFonts w:hint="eastAsia"/>
          <w:sz w:val="24"/>
          <w:szCs w:val="24"/>
        </w:rPr>
        <w:t>版湖北经济学院人才培养方案指导意见》和《湖北经济学院辅修专业证书管理办法》等文件，特</w:t>
      </w:r>
      <w:r w:rsidR="002570C0">
        <w:rPr>
          <w:rFonts w:hint="eastAsia"/>
          <w:sz w:val="24"/>
          <w:szCs w:val="24"/>
        </w:rPr>
        <w:t>对会计学院相关专业辅修证书</w:t>
      </w:r>
      <w:r w:rsidR="0066453B">
        <w:rPr>
          <w:rFonts w:hint="eastAsia"/>
          <w:sz w:val="24"/>
          <w:szCs w:val="24"/>
        </w:rPr>
        <w:t>作出以下</w:t>
      </w:r>
      <w:r w:rsidR="002570C0">
        <w:rPr>
          <w:rFonts w:hint="eastAsia"/>
          <w:sz w:val="24"/>
          <w:szCs w:val="24"/>
        </w:rPr>
        <w:t>具体</w:t>
      </w:r>
      <w:r w:rsidR="0066453B">
        <w:rPr>
          <w:rFonts w:hint="eastAsia"/>
          <w:sz w:val="24"/>
          <w:szCs w:val="24"/>
        </w:rPr>
        <w:t>说明。</w:t>
      </w:r>
    </w:p>
    <w:p w:rsidR="001F0908" w:rsidRDefault="001F0908" w:rsidP="001C70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会计学院可以</w:t>
      </w:r>
      <w:r w:rsidR="00FF466B">
        <w:rPr>
          <w:rFonts w:hint="eastAsia"/>
          <w:sz w:val="24"/>
          <w:szCs w:val="24"/>
        </w:rPr>
        <w:t>获得</w:t>
      </w:r>
      <w:r>
        <w:rPr>
          <w:rFonts w:hint="eastAsia"/>
          <w:sz w:val="24"/>
          <w:szCs w:val="24"/>
        </w:rPr>
        <w:t>辅修证书的专业为会计学、财务管理、审计学和资产评估专业，会计学（</w:t>
      </w:r>
      <w:r>
        <w:rPr>
          <w:rFonts w:hint="eastAsia"/>
          <w:sz w:val="24"/>
          <w:szCs w:val="24"/>
        </w:rPr>
        <w:t>ACCA</w:t>
      </w:r>
      <w:r>
        <w:rPr>
          <w:rFonts w:hint="eastAsia"/>
          <w:sz w:val="24"/>
          <w:szCs w:val="24"/>
        </w:rPr>
        <w:t>）方向班由于其特殊性不受理辅修证书的办理。</w:t>
      </w:r>
    </w:p>
    <w:p w:rsidR="002570C0" w:rsidRDefault="001F0908" w:rsidP="001C70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学生在辅修会计学院相关专业时，其相关管理办法严格</w:t>
      </w:r>
      <w:r w:rsidR="00C75708">
        <w:rPr>
          <w:rFonts w:hint="eastAsia"/>
          <w:sz w:val="24"/>
          <w:szCs w:val="24"/>
        </w:rPr>
        <w:t>按</w:t>
      </w:r>
      <w:r>
        <w:rPr>
          <w:rFonts w:hint="eastAsia"/>
          <w:sz w:val="24"/>
          <w:szCs w:val="24"/>
        </w:rPr>
        <w:t>照《湖北经济学院辅修专业证书管理办法》执行。同时，为保证辅修会计学院相关专业的学生能</w:t>
      </w:r>
      <w:r w:rsidR="00BD1474">
        <w:rPr>
          <w:rFonts w:hint="eastAsia"/>
          <w:sz w:val="24"/>
          <w:szCs w:val="24"/>
        </w:rPr>
        <w:t>从学习中获得相应的专业技能，在辅修证书认定时，要求学生在校期间所学课程</w:t>
      </w:r>
      <w:r w:rsidR="00F747AA">
        <w:rPr>
          <w:rFonts w:hint="eastAsia"/>
          <w:sz w:val="24"/>
          <w:szCs w:val="24"/>
        </w:rPr>
        <w:t>（不区分课程类别）中，</w:t>
      </w:r>
      <w:r w:rsidR="00657C1D">
        <w:rPr>
          <w:rFonts w:hint="eastAsia"/>
          <w:sz w:val="24"/>
          <w:szCs w:val="24"/>
        </w:rPr>
        <w:t>必须包括以下几门课程的学习。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1560"/>
      </w:tblGrid>
      <w:tr w:rsidR="006D4933" w:rsidTr="006D1D8F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4933" w:rsidRDefault="006D4933" w:rsidP="006D4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6D4933" w:rsidRDefault="006D4933" w:rsidP="006D4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所含课程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33" w:rsidRDefault="006D4933" w:rsidP="006D4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先修课程</w:t>
            </w:r>
          </w:p>
        </w:tc>
      </w:tr>
      <w:tr w:rsidR="006D4933" w:rsidTr="006D1D8F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4334" w:rsidRDefault="006D4933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B34334" w:rsidRDefault="006D4933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</w:p>
          <w:p w:rsidR="006D4933" w:rsidRDefault="006D4933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6D4933" w:rsidRDefault="006D4933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《基础会计学》（或《会计学》、《会计学概论》）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</w:tcPr>
          <w:p w:rsidR="006D4933" w:rsidRDefault="006D4933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6D4933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6D4933" w:rsidRDefault="006D4933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D4933" w:rsidRDefault="00B34334" w:rsidP="006D49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A2696C">
              <w:rPr>
                <w:rFonts w:hint="eastAsia"/>
                <w:sz w:val="24"/>
                <w:szCs w:val="24"/>
              </w:rPr>
              <w:t>《中级财务会计学》（或《中级财务会计》）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6D4933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6D4933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6D4933" w:rsidRDefault="006D4933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D4933" w:rsidRDefault="00B34334" w:rsidP="006D49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A2696C">
              <w:rPr>
                <w:rFonts w:hint="eastAsia"/>
                <w:sz w:val="24"/>
                <w:szCs w:val="24"/>
              </w:rPr>
              <w:t>《财务管理学》（或《财务管理》）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6D4933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6D4933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4933" w:rsidRDefault="006D4933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6D4933" w:rsidRDefault="00B34334" w:rsidP="006D49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A2696C">
              <w:rPr>
                <w:rFonts w:hint="eastAsia"/>
                <w:sz w:val="24"/>
                <w:szCs w:val="24"/>
              </w:rPr>
              <w:t>《审计学》（或《审计学概论》）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6D4933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①②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务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A2696C" w:rsidRDefault="00A2696C" w:rsidP="00002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《基础会计学》（或《会计学》、《会计学概论》）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2696C" w:rsidRDefault="00A2696C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《中级财务会计学》（或《中级财务会计》）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2696C" w:rsidRDefault="00A2696C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>《财务管理学》（或《财务管理》）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B34334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4334" w:rsidRDefault="00B34334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B34334" w:rsidRDefault="00B34334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A2696C">
              <w:rPr>
                <w:rFonts w:hint="eastAsia"/>
                <w:sz w:val="24"/>
                <w:szCs w:val="24"/>
              </w:rPr>
              <w:t>《高级财务管理学》（或《高级财务管理》）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B34334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①③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A2696C" w:rsidRDefault="00A2696C" w:rsidP="00002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《基础会计学》（或《会计学》、《会计学概论》）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2696C" w:rsidRDefault="00A2696C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《中级财务会计学》（或《中级财务会计》）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B34334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B34334" w:rsidRDefault="00B34334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4334" w:rsidRDefault="00B34334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A2696C">
              <w:rPr>
                <w:rFonts w:hint="eastAsia"/>
                <w:sz w:val="24"/>
                <w:szCs w:val="24"/>
              </w:rPr>
              <w:t>《审计学》（或《审计学概论》）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B34334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①②</w:t>
            </w:r>
          </w:p>
        </w:tc>
      </w:tr>
      <w:tr w:rsidR="00B34334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4334" w:rsidRDefault="00B34334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B34334" w:rsidRDefault="00B34334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A2696C">
              <w:rPr>
                <w:rFonts w:hint="eastAsia"/>
                <w:sz w:val="24"/>
                <w:szCs w:val="24"/>
              </w:rPr>
              <w:t>《内部审计学》（或《内部审计》）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B34334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①②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 w:rsidR="00A2696C" w:rsidRDefault="00A2696C" w:rsidP="00B343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估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A2696C" w:rsidRDefault="00A2696C" w:rsidP="00002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《基础会计学》（或《会计学》、《会计学概论》）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A2696C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A2696C" w:rsidRDefault="00A2696C" w:rsidP="006D49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2696C" w:rsidRDefault="00A2696C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《中级财务会计学》（或《中级财务会计》）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A2696C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B34334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B34334" w:rsidRDefault="00B34334" w:rsidP="006D49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4334" w:rsidRDefault="00B34334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A2696C">
              <w:rPr>
                <w:rFonts w:hint="eastAsia"/>
                <w:sz w:val="24"/>
                <w:szCs w:val="24"/>
              </w:rPr>
              <w:t>《财务管理学》（或《财务管理》）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B34334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B34334" w:rsidTr="006D1D8F">
        <w:trPr>
          <w:jc w:val="center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34334" w:rsidRDefault="00B34334" w:rsidP="006D49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B34334" w:rsidRDefault="00B34334" w:rsidP="0000286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A2696C">
              <w:rPr>
                <w:rFonts w:hint="eastAsia"/>
                <w:sz w:val="24"/>
                <w:szCs w:val="24"/>
              </w:rPr>
              <w:t>《资产评估学》（或《资产评估原理》）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B34334" w:rsidRDefault="00B467A5" w:rsidP="006D49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7E4324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</w:tbl>
    <w:p w:rsidR="00C02D6C" w:rsidRDefault="00C02D6C" w:rsidP="001C70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学生在选择选修课时，应认真阅读本人所修专业培养方案，慎重选择。</w:t>
      </w:r>
    </w:p>
    <w:p w:rsidR="00607D84" w:rsidRDefault="00607D84" w:rsidP="001C70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为更好的获得相关专业执业能力，推荐学生在选修以上课程的同时，选修会计学院如下课程：</w:t>
      </w:r>
      <w:r w:rsidR="005B691B">
        <w:rPr>
          <w:rFonts w:hint="eastAsia"/>
          <w:sz w:val="24"/>
          <w:szCs w:val="24"/>
        </w:rPr>
        <w:t>《会计信息系统》、《管理会计》、《高级财务会计》、《</w:t>
      </w:r>
      <w:r w:rsidR="005B691B" w:rsidRPr="005B691B">
        <w:rPr>
          <w:rFonts w:hint="eastAsia"/>
          <w:sz w:val="24"/>
          <w:szCs w:val="24"/>
        </w:rPr>
        <w:t>成本会计概论</w:t>
      </w:r>
      <w:r w:rsidR="005B691B">
        <w:rPr>
          <w:rFonts w:hint="eastAsia"/>
          <w:sz w:val="24"/>
          <w:szCs w:val="24"/>
        </w:rPr>
        <w:t>》等等。</w:t>
      </w:r>
    </w:p>
    <w:p w:rsidR="002570C0" w:rsidRDefault="002570C0" w:rsidP="001C7028">
      <w:pPr>
        <w:spacing w:line="360" w:lineRule="auto"/>
        <w:ind w:firstLineChars="200" w:firstLine="480"/>
        <w:rPr>
          <w:sz w:val="24"/>
          <w:szCs w:val="24"/>
        </w:rPr>
      </w:pPr>
    </w:p>
    <w:p w:rsidR="002570C0" w:rsidRDefault="00C75708" w:rsidP="00C75708">
      <w:pPr>
        <w:spacing w:line="360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会计学院</w:t>
      </w:r>
    </w:p>
    <w:p w:rsidR="00C75708" w:rsidRPr="002570C0" w:rsidRDefault="00C75708" w:rsidP="00C75708">
      <w:pPr>
        <w:spacing w:line="360" w:lineRule="auto"/>
        <w:ind w:firstLineChars="2185" w:firstLine="5244"/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 w:rsidR="00383B67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383B67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sectPr w:rsidR="00C75708" w:rsidRPr="00257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51" w:rsidRDefault="00F95E51" w:rsidP="00383B67">
      <w:r>
        <w:separator/>
      </w:r>
    </w:p>
  </w:endnote>
  <w:endnote w:type="continuationSeparator" w:id="0">
    <w:p w:rsidR="00F95E51" w:rsidRDefault="00F95E51" w:rsidP="0038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51" w:rsidRDefault="00F95E51" w:rsidP="00383B67">
      <w:r>
        <w:separator/>
      </w:r>
    </w:p>
  </w:footnote>
  <w:footnote w:type="continuationSeparator" w:id="0">
    <w:p w:rsidR="00F95E51" w:rsidRDefault="00F95E51" w:rsidP="0038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B9"/>
    <w:rsid w:val="00141BD2"/>
    <w:rsid w:val="001C7028"/>
    <w:rsid w:val="001F0908"/>
    <w:rsid w:val="002113E5"/>
    <w:rsid w:val="002570C0"/>
    <w:rsid w:val="002E7F58"/>
    <w:rsid w:val="00383B67"/>
    <w:rsid w:val="00475BDC"/>
    <w:rsid w:val="005B691B"/>
    <w:rsid w:val="00607D84"/>
    <w:rsid w:val="00657C1D"/>
    <w:rsid w:val="0066453B"/>
    <w:rsid w:val="00692952"/>
    <w:rsid w:val="006D1D8F"/>
    <w:rsid w:val="006D4933"/>
    <w:rsid w:val="007E4324"/>
    <w:rsid w:val="008C490E"/>
    <w:rsid w:val="009467D9"/>
    <w:rsid w:val="00952BB9"/>
    <w:rsid w:val="00A12688"/>
    <w:rsid w:val="00A2696C"/>
    <w:rsid w:val="00A64C81"/>
    <w:rsid w:val="00B34334"/>
    <w:rsid w:val="00B467A5"/>
    <w:rsid w:val="00BD1474"/>
    <w:rsid w:val="00C02D6C"/>
    <w:rsid w:val="00C75708"/>
    <w:rsid w:val="00CF5CC1"/>
    <w:rsid w:val="00F6780B"/>
    <w:rsid w:val="00F747AA"/>
    <w:rsid w:val="00F9368B"/>
    <w:rsid w:val="00F95E51"/>
    <w:rsid w:val="00FB52D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9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8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3B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3B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9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8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3B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3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134</Words>
  <Characters>770</Characters>
  <Application>Microsoft Office Word</Application>
  <DocSecurity>0</DocSecurity>
  <Lines>6</Lines>
  <Paragraphs>1</Paragraphs>
  <ScaleCrop>false</ScaleCrop>
  <Company>KJXY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邓青</dc:creator>
  <cp:lastModifiedBy>孙彦波</cp:lastModifiedBy>
  <cp:revision>24</cp:revision>
  <dcterms:created xsi:type="dcterms:W3CDTF">2015-06-07T03:10:00Z</dcterms:created>
  <dcterms:modified xsi:type="dcterms:W3CDTF">2015-12-25T03:47:00Z</dcterms:modified>
</cp:coreProperties>
</file>